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13DE8" w14:textId="54D40B38" w:rsidR="00451340" w:rsidRDefault="00451340" w:rsidP="0045134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#105-Bis</w:t>
      </w:r>
      <w:r>
        <w:rPr>
          <w:b/>
          <w:i/>
          <w:noProof/>
          <w:sz w:val="28"/>
        </w:rPr>
        <w:tab/>
      </w:r>
      <w:r w:rsidR="00C42C0C" w:rsidRPr="00C42C0C">
        <w:rPr>
          <w:b/>
          <w:i/>
          <w:noProof/>
          <w:sz w:val="28"/>
        </w:rPr>
        <w:t>R2-1904730</w:t>
      </w:r>
    </w:p>
    <w:p w14:paraId="7561945A" w14:textId="77777777" w:rsidR="00451340" w:rsidRDefault="00451340" w:rsidP="00451340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Xi’an, China, 8</w:t>
      </w:r>
      <w:r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noProof/>
          <w:sz w:val="24"/>
          <w:lang w:eastAsia="ko-KR"/>
        </w:rPr>
        <w:t xml:space="preserve"> – 12</w:t>
      </w:r>
      <w:r>
        <w:rPr>
          <w:rFonts w:eastAsiaTheme="minorEastAsia"/>
          <w:b/>
          <w:noProof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noProof/>
          <w:sz w:val="24"/>
          <w:lang w:eastAsia="ko-KR"/>
        </w:rPr>
        <w:t xml:space="preserve"> April 2019</w:t>
      </w:r>
      <w:bookmarkStart w:id="0" w:name="_GoBack"/>
      <w:bookmarkEnd w:id="0"/>
    </w:p>
    <w:p w14:paraId="76D80A27" w14:textId="0853D1FE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11.6.3.1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47D96E04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SR enhancement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i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>n NTN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33BF52" w14:textId="24DEAEB8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NTN SID, </w:t>
      </w:r>
      <w:r>
        <w:rPr>
          <w:rFonts w:ascii="Times New Roman" w:eastAsia="맑은 고딕" w:hAnsi="Times New Roman"/>
          <w:sz w:val="22"/>
          <w:lang w:eastAsia="ko-KR"/>
        </w:rPr>
        <w:t xml:space="preserve">it was approved in RAN#80 meeting, and one of the objectives is related </w:t>
      </w:r>
      <w:r w:rsidRPr="00CC5990">
        <w:rPr>
          <w:rFonts w:ascii="Times New Roman" w:eastAsia="맑은 고딕" w:hAnsi="Times New Roman"/>
          <w:sz w:val="22"/>
          <w:lang w:eastAsia="ko-KR"/>
        </w:rPr>
        <w:t>to the propagation delay</w:t>
      </w:r>
      <w:r>
        <w:rPr>
          <w:rFonts w:ascii="Times New Roman" w:eastAsia="맑은 고딕" w:hAnsi="Times New Roman"/>
          <w:sz w:val="22"/>
          <w:lang w:eastAsia="ko-KR"/>
        </w:rPr>
        <w:t xml:space="preserve"> as the highlighted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990" w14:paraId="54B04808" w14:textId="77777777" w:rsidTr="00CC5990">
        <w:tc>
          <w:tcPr>
            <w:tcW w:w="9629" w:type="dxa"/>
          </w:tcPr>
          <w:p w14:paraId="09C8430F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b/>
                <w:i/>
                <w:lang w:eastAsia="zh-TW"/>
              </w:rPr>
            </w:pPr>
            <w:r w:rsidRPr="00CC5990">
              <w:rPr>
                <w:rFonts w:ascii="Times New Roman" w:eastAsia="PMingLiU" w:hAnsi="Times New Roman"/>
                <w:b/>
                <w:i/>
                <w:lang w:eastAsia="zh-TW"/>
              </w:rPr>
              <w:t>Layer 2 and above, and RAN architecture</w:t>
            </w:r>
          </w:p>
          <w:p w14:paraId="62C15C5B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lang w:eastAsia="zh-TW"/>
              </w:rPr>
            </w:pPr>
          </w:p>
          <w:p w14:paraId="2F00FAF5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eastAsia="PMingLiU" w:hAnsi="Times New Roman"/>
                <w:lang w:eastAsia="zh-TW"/>
              </w:rPr>
              <w:t xml:space="preserve">Study the following aspects and identify related solutions if needed: </w:t>
            </w:r>
            <w:r w:rsidRPr="00CC5990">
              <w:rPr>
                <w:rFonts w:ascii="Times New Roman" w:hAnsi="Times New Roman"/>
                <w:bCs/>
                <w:highlight w:val="yellow"/>
              </w:rPr>
              <w:t>Propagation delay: Identify timing requirements and solutions on layer 2 aspects, MAC, RLC, RRC, to support non-terrestrial network propagation delays considering FDD and TDD duplexing mode.</w:t>
            </w:r>
            <w:r w:rsidRPr="00CC5990">
              <w:rPr>
                <w:rFonts w:ascii="Times New Roman" w:hAnsi="Times New Roman"/>
                <w:bCs/>
              </w:rPr>
              <w:t xml:space="preserve"> This includes radio link management. </w:t>
            </w:r>
            <w:r w:rsidRPr="00CC5990">
              <w:rPr>
                <w:rFonts w:ascii="Times New Roman" w:hAnsi="Times New Roman"/>
              </w:rPr>
              <w:t>[RAN2]</w:t>
            </w:r>
          </w:p>
          <w:p w14:paraId="53A8520F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      </w:r>
          </w:p>
          <w:p w14:paraId="7B60E71B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 w:rsidRPr="00CC5990">
              <w:rPr>
                <w:rFonts w:ascii="Times New Roman" w:hAnsi="Times New Roman"/>
              </w:rPr>
              <w:t>[RAN3]</w:t>
            </w:r>
          </w:p>
          <w:p w14:paraId="30C019F3" w14:textId="1A8C5E8A" w:rsidR="00CC5990" w:rsidRPr="00CC5990" w:rsidRDefault="00CC5990" w:rsidP="005920B5">
            <w:pPr>
              <w:numPr>
                <w:ilvl w:val="1"/>
                <w:numId w:val="46"/>
              </w:numPr>
              <w:spacing w:after="0"/>
              <w:jc w:val="left"/>
              <w:rPr>
                <w:bCs/>
              </w:rPr>
            </w:pPr>
            <w:r w:rsidRPr="00CC5990">
              <w:rPr>
                <w:rFonts w:ascii="Times New Roman" w:hAnsi="Times New Roman"/>
              </w:rPr>
              <w:t>Paging: procedure adaptations in case of moving satellite foot prints or cells</w:t>
            </w:r>
          </w:p>
        </w:tc>
      </w:tr>
    </w:tbl>
    <w:p w14:paraId="6E503252" w14:textId="77777777" w:rsidR="00CC5990" w:rsidRP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A76096" w14:textId="0326B363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 on sche</w:t>
      </w:r>
      <w:r>
        <w:rPr>
          <w:rFonts w:ascii="Times New Roman" w:eastAsia="맑은 고딕" w:hAnsi="Times New Roman"/>
          <w:sz w:val="22"/>
          <w:lang w:eastAsia="ko-KR"/>
        </w:rPr>
        <w:t xml:space="preserve">duling </w:t>
      </w:r>
      <w:r w:rsidR="009F6ACD">
        <w:rPr>
          <w:rFonts w:ascii="Times New Roman" w:eastAsia="맑은 고딕" w:hAnsi="Times New Roman"/>
          <w:sz w:val="22"/>
          <w:lang w:eastAsia="ko-KR"/>
        </w:rPr>
        <w:t xml:space="preserve">enhancement related with propagation delay </w:t>
      </w:r>
      <w:r>
        <w:rPr>
          <w:rFonts w:ascii="Times New Roman" w:eastAsia="맑은 고딕" w:hAnsi="Times New Roman"/>
          <w:sz w:val="22"/>
          <w:lang w:eastAsia="ko-KR"/>
        </w:rPr>
        <w:t>in NTN.</w:t>
      </w:r>
    </w:p>
    <w:p w14:paraId="5B3835A7" w14:textId="77777777" w:rsidR="00DB280B" w:rsidRDefault="00DB280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8C6B13C" w14:textId="667EABE4" w:rsidR="009D6695" w:rsidRDefault="00CC5990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Generally, if UL data arrives at the PDCP layer and SR is configured, the UE requests UL resource allocation by initiating SR procedure.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he SR procedure requires </w:t>
      </w:r>
      <w:r w:rsidR="009D6695">
        <w:rPr>
          <w:rFonts w:ascii="Times New Roman" w:eastAsia="맑은 고딕" w:hAnsi="Times New Roman"/>
          <w:sz w:val="22"/>
          <w:lang w:eastAsia="ko-KR"/>
        </w:rPr>
        <w:t>five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 steps before actual data 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transmission</w:t>
      </w:r>
      <w:r w:rsidR="009D669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4763A37" w14:textId="6B9C21C1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1. Transmission of </w:t>
      </w:r>
      <w:r w:rsidRPr="009D6695">
        <w:rPr>
          <w:rFonts w:ascii="Times New Roman" w:eastAsia="맑은 고딕" w:hAnsi="Times New Roman"/>
          <w:sz w:val="22"/>
          <w:lang w:eastAsia="ko-KR"/>
        </w:rPr>
        <w:t>a SR</w:t>
      </w:r>
    </w:p>
    <w:p w14:paraId="46A40149" w14:textId="4E2CF463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2. Reception of the </w:t>
      </w:r>
      <w:r w:rsidRPr="009D6695">
        <w:rPr>
          <w:rFonts w:ascii="Times New Roman" w:eastAsia="맑은 고딕" w:hAnsi="Times New Roman"/>
          <w:sz w:val="22"/>
          <w:lang w:eastAsia="ko-KR"/>
        </w:rPr>
        <w:t>UL grant for BSR.</w:t>
      </w:r>
    </w:p>
    <w:p w14:paraId="1CD214EE" w14:textId="3A2A8CF6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3. Transmission of the </w:t>
      </w:r>
      <w:r w:rsidRPr="009D6695">
        <w:rPr>
          <w:rFonts w:ascii="Times New Roman" w:eastAsia="맑은 고딕" w:hAnsi="Times New Roman"/>
          <w:sz w:val="22"/>
          <w:lang w:eastAsia="ko-KR"/>
        </w:rPr>
        <w:t>BSR.</w:t>
      </w:r>
    </w:p>
    <w:p w14:paraId="2495271E" w14:textId="009170CC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4. Reception of </w:t>
      </w:r>
      <w:r w:rsidRPr="009D6695">
        <w:rPr>
          <w:rFonts w:ascii="Times New Roman" w:eastAsia="맑은 고딕" w:hAnsi="Times New Roman"/>
          <w:sz w:val="22"/>
          <w:lang w:eastAsia="ko-KR"/>
        </w:rPr>
        <w:t>the UL grant for data.</w:t>
      </w:r>
    </w:p>
    <w:p w14:paraId="66A0E4A6" w14:textId="4570AA65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5. Transmission of the actual data. </w:t>
      </w:r>
    </w:p>
    <w:p w14:paraId="1FFDDA7F" w14:textId="77777777" w:rsidR="00BA0551" w:rsidRPr="00BA0551" w:rsidRDefault="00BA0551" w:rsidP="00BA05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0A0606B" w14:textId="3B567CD3" w:rsidR="00AA6026" w:rsidRPr="00AA6026" w:rsidRDefault="00AA6026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The reason for requiring 5-step procedure is that the SR and preamble transmission only inform that the </w:t>
      </w:r>
      <w:r w:rsidRPr="00AA6026">
        <w:rPr>
          <w:rFonts w:ascii="Times New Roman" w:eastAsia="맑은 고딕" w:hAnsi="Times New Roman"/>
          <w:sz w:val="22"/>
          <w:lang w:eastAsia="ko-KR"/>
        </w:rPr>
        <w:t>UE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needs to get an UL grant. Since the </w:t>
      </w:r>
      <w:r>
        <w:rPr>
          <w:rFonts w:ascii="Times New Roman" w:eastAsia="맑은 고딕" w:hAnsi="Times New Roman"/>
          <w:sz w:val="22"/>
          <w:lang w:eastAsia="ko-KR"/>
        </w:rPr>
        <w:t>network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cannot know the amount of data available for transmission by </w:t>
      </w:r>
      <w:r w:rsidRPr="00AA6026">
        <w:rPr>
          <w:rFonts w:ascii="Times New Roman" w:eastAsia="맑은 고딕" w:hAnsi="Times New Roman"/>
          <w:sz w:val="22"/>
          <w:lang w:eastAsia="ko-KR"/>
        </w:rPr>
        <w:t>SR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>, the UE has to perform BSR procedure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46266" w:rsidRPr="00AA6026">
        <w:rPr>
          <w:rFonts w:ascii="Times New Roman" w:eastAsia="맑은 고딕" w:hAnsi="Times New Roman" w:hint="eastAsia"/>
          <w:sz w:val="22"/>
          <w:lang w:eastAsia="ko-KR"/>
        </w:rPr>
        <w:t>in order to get a sufficient UL grant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0452320F" w14:textId="77488C2E" w:rsidR="002057F1" w:rsidRDefault="002057F1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2057F1">
        <w:rPr>
          <w:rFonts w:ascii="Times New Roman" w:eastAsia="맑은 고딕" w:hAnsi="Times New Roman"/>
          <w:sz w:val="22"/>
          <w:lang w:eastAsia="ko-KR"/>
        </w:rPr>
        <w:t>Considering the long RTT</w:t>
      </w:r>
      <w:r w:rsidR="00F24A57">
        <w:rPr>
          <w:rFonts w:ascii="Times New Roman" w:eastAsia="맑은 고딕" w:hAnsi="Times New Roman"/>
          <w:sz w:val="22"/>
          <w:lang w:eastAsia="ko-KR"/>
        </w:rPr>
        <w:t xml:space="preserve"> (</w:t>
      </w:r>
      <w:r w:rsidR="00F24A57" w:rsidRPr="00F24A57">
        <w:rPr>
          <w:rFonts w:ascii="Times New Roman" w:eastAsia="맑은 고딕" w:hAnsi="Times New Roman"/>
          <w:sz w:val="22"/>
          <w:lang w:eastAsia="ko-KR"/>
        </w:rPr>
        <w:t>up to 544.75ms)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 in NTN, </w:t>
      </w:r>
      <w:r w:rsidR="004601D7">
        <w:rPr>
          <w:rFonts w:ascii="Times New Roman" w:eastAsia="맑은 고딕" w:hAnsi="Times New Roman"/>
          <w:sz w:val="22"/>
          <w:lang w:eastAsia="ko-KR"/>
        </w:rPr>
        <w:t>it would take long time for the UE to get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 the UL grant for 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actual 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data by initiating SR procedure. </w:t>
      </w:r>
      <w:r w:rsidR="004601D7">
        <w:rPr>
          <w:rFonts w:ascii="Times New Roman" w:eastAsia="맑은 고딕" w:hAnsi="Times New Roman"/>
          <w:sz w:val="22"/>
          <w:lang w:eastAsia="ko-KR"/>
        </w:rPr>
        <w:t xml:space="preserve">For a better utilization of NTN, reasonable latency needs to be achieved. 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In this sense, it </w:t>
      </w:r>
      <w:r w:rsidR="004601D7">
        <w:rPr>
          <w:rFonts w:ascii="Times New Roman" w:eastAsia="맑은 고딕" w:hAnsi="Times New Roman"/>
          <w:sz w:val="22"/>
          <w:lang w:eastAsia="ko-KR"/>
        </w:rPr>
        <w:t>is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 worth to enhance the SR procedure itself so that the UE informs the network of the rough amount of data available for transmission through the SR. </w:t>
      </w:r>
      <w:r w:rsidR="004601D7">
        <w:rPr>
          <w:rFonts w:ascii="Times New Roman" w:eastAsia="맑은 고딕" w:hAnsi="Times New Roman"/>
          <w:sz w:val="22"/>
          <w:lang w:eastAsia="ko-KR"/>
        </w:rPr>
        <w:t xml:space="preserve">There wouldn’t be a finer granularity of buffer size as in BSR but it would be sufficient to have one or two level of buffer size that can be informed </w:t>
      </w:r>
      <w:r w:rsidR="004601D7">
        <w:rPr>
          <w:rFonts w:ascii="Times New Roman" w:eastAsia="맑은 고딕" w:hAnsi="Times New Roman"/>
          <w:sz w:val="22"/>
          <w:lang w:eastAsia="ko-KR"/>
        </w:rPr>
        <w:lastRenderedPageBreak/>
        <w:t xml:space="preserve">by SR. </w:t>
      </w:r>
      <w:r w:rsidRPr="002057F1">
        <w:rPr>
          <w:rFonts w:ascii="Times New Roman" w:eastAsia="맑은 고딕" w:hAnsi="Times New Roman"/>
          <w:sz w:val="22"/>
          <w:lang w:eastAsia="ko-KR"/>
        </w:rPr>
        <w:t xml:space="preserve">With the information of the amount of data with SR, the network can provide sufficient UL grant in response to SR, which removes the need for BSR procedure. </w:t>
      </w:r>
    </w:p>
    <w:p w14:paraId="632D778A" w14:textId="59F0E090" w:rsidR="00E53032" w:rsidRDefault="00F24A57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C1C83">
        <w:rPr>
          <w:rFonts w:ascii="Times New Roman" w:eastAsia="맑은 고딕" w:hAnsi="Times New Roman"/>
          <w:b/>
          <w:sz w:val="22"/>
          <w:lang w:eastAsia="ko-KR"/>
        </w:rPr>
        <w:t>RAN2 study that t</w:t>
      </w:r>
      <w:r w:rsidR="009D6695" w:rsidRPr="009D6695">
        <w:rPr>
          <w:rFonts w:ascii="Times New Roman" w:eastAsia="맑은 고딕" w:hAnsi="Times New Roman" w:hint="eastAsia"/>
          <w:b/>
          <w:sz w:val="22"/>
          <w:lang w:eastAsia="ko-KR"/>
        </w:rPr>
        <w:t>he SR procedure inform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>s</w:t>
      </w:r>
      <w:r w:rsidR="009D6695" w:rsidRPr="009D6695">
        <w:rPr>
          <w:rFonts w:ascii="Times New Roman" w:eastAsia="맑은 고딕" w:hAnsi="Times New Roman" w:hint="eastAsia"/>
          <w:b/>
          <w:sz w:val="22"/>
          <w:lang w:eastAsia="ko-KR"/>
        </w:rPr>
        <w:t xml:space="preserve"> the rough amount of data available for transmission</w:t>
      </w:r>
      <w:r w:rsidR="00DB280B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8EE5B7B" w14:textId="77777777" w:rsidR="00DB280B" w:rsidRPr="00F24A57" w:rsidRDefault="00DB280B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405B4419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8C1C83">
        <w:rPr>
          <w:rFonts w:ascii="Times New Roman" w:eastAsia="맑은 고딕" w:hAnsi="Times New Roman" w:hint="eastAsia"/>
          <w:sz w:val="22"/>
          <w:lang w:eastAsia="ko-KR"/>
        </w:rPr>
        <w:t>view on sche</w:t>
      </w:r>
      <w:r w:rsidR="008C1C83">
        <w:rPr>
          <w:rFonts w:ascii="Times New Roman" w:eastAsia="맑은 고딕" w:hAnsi="Times New Roman"/>
          <w:sz w:val="22"/>
          <w:lang w:eastAsia="ko-KR"/>
        </w:rPr>
        <w:t>duling in NTN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59A3C423" w14:textId="77777777" w:rsidR="00F24A57" w:rsidRDefault="00F24A57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RAN2 study that t</w:t>
      </w:r>
      <w:r w:rsidRPr="009D6695">
        <w:rPr>
          <w:rFonts w:ascii="Times New Roman" w:eastAsia="맑은 고딕" w:hAnsi="Times New Roman" w:hint="eastAsia"/>
          <w:b/>
          <w:sz w:val="22"/>
          <w:lang w:eastAsia="ko-KR"/>
        </w:rPr>
        <w:t>he SR procedure inform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>s</w:t>
      </w:r>
      <w:r w:rsidRPr="009D6695">
        <w:rPr>
          <w:rFonts w:ascii="Times New Roman" w:eastAsia="맑은 고딕" w:hAnsi="Times New Roman" w:hint="eastAsia"/>
          <w:b/>
          <w:sz w:val="22"/>
          <w:lang w:eastAsia="ko-KR"/>
        </w:rPr>
        <w:t xml:space="preserve"> the rough amount of data available for transmission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6781E7F" w14:textId="09CB5C62" w:rsidR="009D6695" w:rsidRPr="00F24A57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9D6695" w:rsidRPr="00F24A5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44135" w14:textId="77777777" w:rsidR="00CB1BA2" w:rsidRDefault="00CB1BA2">
      <w:r>
        <w:separator/>
      </w:r>
    </w:p>
  </w:endnote>
  <w:endnote w:type="continuationSeparator" w:id="0">
    <w:p w14:paraId="07BA8B5F" w14:textId="77777777" w:rsidR="00CB1BA2" w:rsidRDefault="00CB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FCA9E" w14:textId="77777777" w:rsidR="00CB1BA2" w:rsidRDefault="00CB1BA2">
      <w:r>
        <w:separator/>
      </w:r>
    </w:p>
  </w:footnote>
  <w:footnote w:type="continuationSeparator" w:id="0">
    <w:p w14:paraId="0A871102" w14:textId="77777777" w:rsidR="00CB1BA2" w:rsidRDefault="00CB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29B0336"/>
    <w:multiLevelType w:val="hybridMultilevel"/>
    <w:tmpl w:val="68E69E32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3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1"/>
  </w:num>
  <w:num w:numId="3">
    <w:abstractNumId w:val="25"/>
  </w:num>
  <w:num w:numId="4">
    <w:abstractNumId w:val="27"/>
  </w:num>
  <w:num w:numId="5">
    <w:abstractNumId w:val="20"/>
  </w:num>
  <w:num w:numId="6">
    <w:abstractNumId w:val="28"/>
  </w:num>
  <w:num w:numId="7">
    <w:abstractNumId w:val="34"/>
  </w:num>
  <w:num w:numId="8">
    <w:abstractNumId w:val="21"/>
  </w:num>
  <w:num w:numId="9">
    <w:abstractNumId w:val="32"/>
  </w:num>
  <w:num w:numId="10">
    <w:abstractNumId w:val="40"/>
  </w:num>
  <w:num w:numId="11">
    <w:abstractNumId w:val="14"/>
  </w:num>
  <w:num w:numId="12">
    <w:abstractNumId w:val="18"/>
  </w:num>
  <w:num w:numId="13">
    <w:abstractNumId w:val="35"/>
  </w:num>
  <w:num w:numId="14">
    <w:abstractNumId w:val="30"/>
  </w:num>
  <w:num w:numId="15">
    <w:abstractNumId w:val="41"/>
  </w:num>
  <w:num w:numId="16">
    <w:abstractNumId w:val="16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26"/>
  </w:num>
  <w:num w:numId="23">
    <w:abstractNumId w:val="17"/>
  </w:num>
  <w:num w:numId="24">
    <w:abstractNumId w:val="4"/>
  </w:num>
  <w:num w:numId="25">
    <w:abstractNumId w:val="6"/>
  </w:num>
  <w:num w:numId="26">
    <w:abstractNumId w:val="22"/>
  </w:num>
  <w:num w:numId="27">
    <w:abstractNumId w:val="2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5"/>
  </w:num>
  <w:num w:numId="31">
    <w:abstractNumId w:val="38"/>
  </w:num>
  <w:num w:numId="32">
    <w:abstractNumId w:val="3"/>
  </w:num>
  <w:num w:numId="33">
    <w:abstractNumId w:val="39"/>
  </w:num>
  <w:num w:numId="34">
    <w:abstractNumId w:val="11"/>
  </w:num>
  <w:num w:numId="35">
    <w:abstractNumId w:val="3"/>
  </w:num>
  <w:num w:numId="36">
    <w:abstractNumId w:val="3"/>
  </w:num>
  <w:num w:numId="37">
    <w:abstractNumId w:val="3"/>
  </w:num>
  <w:num w:numId="38">
    <w:abstractNumId w:val="12"/>
  </w:num>
  <w:num w:numId="39">
    <w:abstractNumId w:val="8"/>
  </w:num>
  <w:num w:numId="40">
    <w:abstractNumId w:val="5"/>
  </w:num>
  <w:num w:numId="41">
    <w:abstractNumId w:val="33"/>
  </w:num>
  <w:num w:numId="42">
    <w:abstractNumId w:val="36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37"/>
  </w:num>
  <w:num w:numId="4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8D8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A5DE2F7-50C4-4668-B642-33BA89EE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4</cp:revision>
  <cp:lastPrinted>2017-09-25T07:27:00Z</cp:lastPrinted>
  <dcterms:created xsi:type="dcterms:W3CDTF">2019-03-28T08:00:00Z</dcterms:created>
  <dcterms:modified xsi:type="dcterms:W3CDTF">2019-03-29T00:24:00Z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